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ABC" w:rsidRPr="00BC3ABC" w:rsidRDefault="00BC3ABC" w:rsidP="00BC3A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838325" cy="1121449"/>
            <wp:effectExtent l="19050" t="0" r="9525" b="0"/>
            <wp:docPr id="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21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5D37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2382664" cy="1781175"/>
            <wp:effectExtent l="19050" t="0" r="0" b="0"/>
            <wp:docPr id="1" name="Imagen 1" descr="E:\foto_grupo_lo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oto_grupo_lous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351" cy="1781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ABC" w:rsidRPr="00BC3ABC" w:rsidRDefault="00BC3ABC" w:rsidP="00BC3A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C3ABC" w:rsidRDefault="00BC3ABC" w:rsidP="00BC3A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95D37" w:rsidRPr="00BC3ABC" w:rsidRDefault="00A95D37" w:rsidP="00BC3A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C3ABC" w:rsidRPr="00BC3ABC" w:rsidRDefault="00BC3ABC" w:rsidP="00BC3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C3ABC" w:rsidRPr="00BC3ABC" w:rsidRDefault="00BC3ABC" w:rsidP="00BC3A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C3ABC" w:rsidRPr="00A95D37" w:rsidRDefault="00BC3ABC" w:rsidP="00BC3ABC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El  Centro de Adultos de Cáceres, participa durante el bienio 2009-2011 en una de las Acciones Descentralizadas del Programa de Aprendizaje Permanente de la Unión Europea, en la modalidad de Asociaciones Grundtvig con el proyecto “ Let´s do it creatively for the benefit of adult learners”.</w:t>
      </w:r>
    </w:p>
    <w:p w:rsidR="00BC3ABC" w:rsidRPr="00A95D37" w:rsidRDefault="00BC3ABC" w:rsidP="00BC3ABC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</w:p>
    <w:p w:rsidR="00BC3ABC" w:rsidRPr="00A95D37" w:rsidRDefault="00BC3ABC" w:rsidP="00BC3ABC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Dicho proyecto sigue los objetivos de la Unión Europea de fomentar el conocimiento de las diferentes culturas, el intercambio de ideas y  desarrollo de estrategias de enseñanza-aprendizaje activas que reviertan en un modelo educativo más abierto, participativo y eminentemente europeísta. </w:t>
      </w:r>
    </w:p>
    <w:p w:rsidR="00BC3ABC" w:rsidRPr="00A95D37" w:rsidRDefault="00BC3ABC" w:rsidP="00BC3ABC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Están integrados los siguientes centros:</w:t>
      </w:r>
    </w:p>
    <w:p w:rsidR="00BC3ABC" w:rsidRPr="00A95D37" w:rsidRDefault="00BC3ABC" w:rsidP="00BC3ABC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</w:p>
    <w:p w:rsidR="00BC3ABC" w:rsidRPr="00A95D37" w:rsidRDefault="00BC3ABC" w:rsidP="00BC3ABC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GB"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val="en-GB" w:eastAsia="es-ES"/>
        </w:rPr>
        <w:t xml:space="preserve">County Dublin Vocational Education Committee, </w:t>
      </w:r>
      <w:r w:rsidRPr="00A95D37">
        <w:rPr>
          <w:rFonts w:ascii="Comic Sans MS" w:eastAsia="Times New Roman" w:hAnsi="Comic Sans MS" w:cs="Times New Roman"/>
          <w:b/>
          <w:sz w:val="20"/>
          <w:szCs w:val="20"/>
          <w:u w:val="single"/>
          <w:lang w:val="en-GB" w:eastAsia="es-ES"/>
        </w:rPr>
        <w:t>IRELAND</w:t>
      </w:r>
      <w:r w:rsidRPr="00A95D37">
        <w:rPr>
          <w:rFonts w:ascii="Comic Sans MS" w:eastAsia="Times New Roman" w:hAnsi="Comic Sans MS" w:cs="Times New Roman"/>
          <w:sz w:val="20"/>
          <w:szCs w:val="20"/>
          <w:lang w:val="en-GB" w:eastAsia="es-ES"/>
        </w:rPr>
        <w:t>( coordinator)</w:t>
      </w:r>
    </w:p>
    <w:p w:rsidR="00BC3ABC" w:rsidRPr="00A95D37" w:rsidRDefault="00BC3ABC" w:rsidP="00BC3ABC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  <w:lang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Arte- Vía Cooperativa Artística e Editorial, </w:t>
      </w:r>
      <w:r w:rsidRPr="00A95D37">
        <w:rPr>
          <w:rFonts w:ascii="Comic Sans MS" w:eastAsia="Times New Roman" w:hAnsi="Comic Sans MS" w:cs="Times New Roman"/>
          <w:b/>
          <w:sz w:val="20"/>
          <w:szCs w:val="20"/>
          <w:u w:val="single"/>
          <w:lang w:eastAsia="es-ES"/>
        </w:rPr>
        <w:t>PORTUGAL</w:t>
      </w:r>
    </w:p>
    <w:p w:rsidR="00BC3ABC" w:rsidRPr="00A95D37" w:rsidRDefault="00BC3ABC" w:rsidP="00BC3ABC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  <w:lang w:val="en-GB"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val="en-GB" w:eastAsia="es-ES"/>
        </w:rPr>
        <w:t xml:space="preserve">Universitatea Spiru Harte Bucuresti_CTID Ploiesti, </w:t>
      </w:r>
      <w:r w:rsidRPr="00A95D37">
        <w:rPr>
          <w:rFonts w:ascii="Comic Sans MS" w:eastAsia="Times New Roman" w:hAnsi="Comic Sans MS" w:cs="Times New Roman"/>
          <w:b/>
          <w:sz w:val="20"/>
          <w:szCs w:val="20"/>
          <w:u w:val="single"/>
          <w:lang w:val="en-GB" w:eastAsia="es-ES"/>
        </w:rPr>
        <w:t>ROMANIA</w:t>
      </w:r>
    </w:p>
    <w:p w:rsidR="00BC3ABC" w:rsidRPr="00A95D37" w:rsidRDefault="00BC3ABC" w:rsidP="00BC3ABC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  <w:lang w:val="en-GB"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val="en-GB" w:eastAsia="es-ES"/>
        </w:rPr>
        <w:t xml:space="preserve">Palacký University Olomouc _ Faculty of Natural Sciences, </w:t>
      </w:r>
      <w:r w:rsidRPr="00A95D37">
        <w:rPr>
          <w:rFonts w:ascii="Comic Sans MS" w:eastAsia="Times New Roman" w:hAnsi="Comic Sans MS" w:cs="Times New Roman"/>
          <w:b/>
          <w:sz w:val="20"/>
          <w:szCs w:val="20"/>
          <w:u w:val="single"/>
          <w:lang w:val="en-GB" w:eastAsia="es-ES"/>
        </w:rPr>
        <w:t>CZECH REPUBLIC</w:t>
      </w:r>
    </w:p>
    <w:p w:rsidR="00BC3ABC" w:rsidRPr="00A95D37" w:rsidRDefault="00BC3ABC" w:rsidP="00BC3ABC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GB"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val="en-GB" w:eastAsia="es-ES"/>
        </w:rPr>
        <w:t xml:space="preserve">Joanna Pinewood Education Limited, </w:t>
      </w:r>
      <w:r w:rsidRPr="00A95D37">
        <w:rPr>
          <w:rFonts w:ascii="Comic Sans MS" w:eastAsia="Times New Roman" w:hAnsi="Comic Sans MS" w:cs="Times New Roman"/>
          <w:b/>
          <w:sz w:val="20"/>
          <w:szCs w:val="20"/>
          <w:u w:val="single"/>
          <w:lang w:val="en-GB" w:eastAsia="es-ES"/>
        </w:rPr>
        <w:t>UNITED KINGDOM</w:t>
      </w:r>
    </w:p>
    <w:p w:rsidR="00BC3ABC" w:rsidRPr="00A95D37" w:rsidRDefault="00BC3ABC" w:rsidP="00BC3ABC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  <w:lang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Centro de Educación de Adultos, Cáceres, </w:t>
      </w:r>
      <w:r w:rsidRPr="00A95D37">
        <w:rPr>
          <w:rFonts w:ascii="Comic Sans MS" w:eastAsia="Times New Roman" w:hAnsi="Comic Sans MS" w:cs="Times New Roman"/>
          <w:b/>
          <w:sz w:val="20"/>
          <w:szCs w:val="20"/>
          <w:u w:val="single"/>
          <w:lang w:eastAsia="es-ES"/>
        </w:rPr>
        <w:t>SPAIN</w:t>
      </w:r>
    </w:p>
    <w:p w:rsidR="00BC3ABC" w:rsidRPr="00A95D37" w:rsidRDefault="00BC3ABC" w:rsidP="00BC3ABC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GB"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val="en-US" w:eastAsia="es-ES"/>
        </w:rPr>
        <w:t xml:space="preserve">Akademie 2. </w:t>
      </w:r>
      <w:r w:rsidRPr="00A95D37">
        <w:rPr>
          <w:rFonts w:ascii="Comic Sans MS" w:eastAsia="Times New Roman" w:hAnsi="Comic Sans MS" w:cs="Times New Roman"/>
          <w:sz w:val="20"/>
          <w:szCs w:val="20"/>
          <w:lang w:val="en-GB" w:eastAsia="es-ES"/>
        </w:rPr>
        <w:t xml:space="preserve">Lebenshälfte im Land Brandengurg e.V., </w:t>
      </w:r>
      <w:r w:rsidRPr="00A95D37">
        <w:rPr>
          <w:rFonts w:ascii="Comic Sans MS" w:eastAsia="Times New Roman" w:hAnsi="Comic Sans MS" w:cs="Times New Roman"/>
          <w:b/>
          <w:sz w:val="20"/>
          <w:szCs w:val="20"/>
          <w:u w:val="single"/>
          <w:lang w:val="en-GB" w:eastAsia="es-ES"/>
        </w:rPr>
        <w:t>GERMANY</w:t>
      </w:r>
    </w:p>
    <w:p w:rsidR="00BC3ABC" w:rsidRPr="00A95D37" w:rsidRDefault="00BC3ABC" w:rsidP="00BC3ABC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  <w:lang w:val="en-GB"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val="en-GB" w:eastAsia="es-ES"/>
        </w:rPr>
        <w:t xml:space="preserve">acDAC Engineering Consultancy Bureau (MECB) LTD, </w:t>
      </w:r>
      <w:r w:rsidRPr="00A95D37">
        <w:rPr>
          <w:rFonts w:ascii="Comic Sans MS" w:eastAsia="Times New Roman" w:hAnsi="Comic Sans MS" w:cs="Times New Roman"/>
          <w:b/>
          <w:sz w:val="20"/>
          <w:szCs w:val="20"/>
          <w:u w:val="single"/>
          <w:lang w:val="en-GB" w:eastAsia="es-ES"/>
        </w:rPr>
        <w:t>MALTA</w:t>
      </w:r>
    </w:p>
    <w:p w:rsidR="00BC3ABC" w:rsidRPr="00A95D37" w:rsidRDefault="00BC3ABC" w:rsidP="00BC3ABC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  <w:lang w:val="en-GB"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val="en-GB" w:eastAsia="es-ES"/>
        </w:rPr>
        <w:t xml:space="preserve">Andirin Halk Egitimi Merkezi, </w:t>
      </w:r>
      <w:r w:rsidRPr="00A95D37">
        <w:rPr>
          <w:rFonts w:ascii="Comic Sans MS" w:eastAsia="Times New Roman" w:hAnsi="Comic Sans MS" w:cs="Times New Roman"/>
          <w:b/>
          <w:sz w:val="20"/>
          <w:szCs w:val="20"/>
          <w:u w:val="single"/>
          <w:lang w:val="en-GB" w:eastAsia="es-ES"/>
        </w:rPr>
        <w:t>TURKEY</w:t>
      </w:r>
    </w:p>
    <w:p w:rsidR="00BC3ABC" w:rsidRPr="00A95D37" w:rsidRDefault="00BC3ABC" w:rsidP="00BC3ABC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  <w:lang w:val="en-GB"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val="en-GB" w:eastAsia="es-ES"/>
        </w:rPr>
        <w:t xml:space="preserve">Office of the College Principal, Saint Theresa College, </w:t>
      </w:r>
      <w:r w:rsidRPr="00A95D37">
        <w:rPr>
          <w:rFonts w:ascii="Comic Sans MS" w:eastAsia="Times New Roman" w:hAnsi="Comic Sans MS" w:cs="Times New Roman"/>
          <w:b/>
          <w:sz w:val="20"/>
          <w:szCs w:val="20"/>
          <w:u w:val="single"/>
          <w:lang w:val="en-GB" w:eastAsia="es-ES"/>
        </w:rPr>
        <w:t>MALTA</w:t>
      </w:r>
    </w:p>
    <w:p w:rsidR="00BC3ABC" w:rsidRPr="00A95D37" w:rsidRDefault="00BC3ABC" w:rsidP="00BC3ABC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GB" w:eastAsia="es-ES"/>
        </w:rPr>
      </w:pPr>
    </w:p>
    <w:p w:rsidR="00BC3ABC" w:rsidRDefault="00BC3ABC" w:rsidP="00BC3ABC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GB" w:eastAsia="es-ES"/>
        </w:rPr>
      </w:pPr>
    </w:p>
    <w:p w:rsidR="00A95D37" w:rsidRPr="00A95D37" w:rsidRDefault="00A95D37" w:rsidP="00BC3ABC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val="en-GB" w:eastAsia="es-ES"/>
        </w:rPr>
      </w:pPr>
    </w:p>
    <w:p w:rsidR="00BC3ABC" w:rsidRPr="00A95D37" w:rsidRDefault="00BC3ABC" w:rsidP="00BC3ABC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La idea de estos proyectos es celebrar reuniones en diferentes países con varios representantes de cada uno de los centros asociados.</w:t>
      </w:r>
    </w:p>
    <w:p w:rsidR="00BC3ABC" w:rsidRPr="00A95D37" w:rsidRDefault="00BC3ABC" w:rsidP="00BC3ABC">
      <w:pPr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5 – 8   Noviembre 2009 :  PORTUGAL</w:t>
      </w:r>
    </w:p>
    <w:p w:rsidR="00BC3ABC" w:rsidRPr="00A95D37" w:rsidRDefault="00BC3ABC" w:rsidP="00BC3ABC">
      <w:pPr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15 – 18 Abril 2010 : MALTA</w:t>
      </w:r>
    </w:p>
    <w:p w:rsidR="00BC3ABC" w:rsidRPr="00A95D37" w:rsidRDefault="00BC3ABC" w:rsidP="00BC3ABC">
      <w:pPr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Octubre 2010:  REPÚBLICA CHECA</w:t>
      </w:r>
    </w:p>
    <w:p w:rsidR="00BC3ABC" w:rsidRPr="00A95D37" w:rsidRDefault="00BC3ABC" w:rsidP="00BC3ABC">
      <w:pPr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Marzo 2011: RUMANIA</w:t>
      </w:r>
    </w:p>
    <w:p w:rsidR="00BC3ABC" w:rsidRPr="00A95D37" w:rsidRDefault="00BC3ABC" w:rsidP="00BC3ABC">
      <w:pPr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Mayo 2011: IRLANDA</w:t>
      </w:r>
    </w:p>
    <w:p w:rsidR="00BC3ABC" w:rsidRPr="00A95D37" w:rsidRDefault="00BC3ABC" w:rsidP="00BC3ABC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</w:p>
    <w:p w:rsidR="00BC3ABC" w:rsidRPr="00A95D37" w:rsidRDefault="00BC3ABC" w:rsidP="00BC3ABC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</w:p>
    <w:p w:rsidR="00754CB2" w:rsidRPr="00A95D37" w:rsidRDefault="00754CB2" w:rsidP="00BC3ABC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</w:p>
    <w:p w:rsidR="00BC3ABC" w:rsidRDefault="00BC3ABC" w:rsidP="00BC3ABC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</w:p>
    <w:p w:rsidR="00522B98" w:rsidRPr="00A95D37" w:rsidRDefault="00522B98" w:rsidP="00522B9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lastRenderedPageBreak/>
        <w:t> Las ideas que guían el proyecto son</w:t>
      </w:r>
      <w:r w:rsidR="006B5F19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:</w:t>
      </w: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</w:p>
    <w:p w:rsidR="00522B98" w:rsidRPr="00A95D37" w:rsidRDefault="00522B98" w:rsidP="00522B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Ayudar a los alumnos para que</w:t>
      </w:r>
      <w:r w:rsidR="009A53C8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, de forma creativa,</w:t>
      </w: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aprendan</w:t>
      </w:r>
      <w:r w:rsidR="009A53C8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.</w:t>
      </w:r>
    </w:p>
    <w:p w:rsidR="00522B98" w:rsidRPr="00A95D37" w:rsidRDefault="00522B98" w:rsidP="00522B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Demostrarles que aprender no tiene por qué ser aburrido.</w:t>
      </w:r>
    </w:p>
    <w:p w:rsidR="00C01BB6" w:rsidRPr="00A95D37" w:rsidRDefault="00F06A89" w:rsidP="00C01BB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A95D37">
        <w:rPr>
          <w:rFonts w:ascii="Comic Sans MS" w:eastAsia="Times New Roman" w:hAnsi="Comic Sans MS" w:cs="Times New Roman"/>
          <w:noProof/>
          <w:sz w:val="20"/>
          <w:szCs w:val="20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3539490</wp:posOffset>
            </wp:positionH>
            <wp:positionV relativeFrom="margin">
              <wp:posOffset>1024255</wp:posOffset>
            </wp:positionV>
            <wp:extent cx="2278380" cy="1704975"/>
            <wp:effectExtent l="19050" t="0" r="7620" b="0"/>
            <wp:wrapSquare wrapText="bothSides"/>
            <wp:docPr id="2" name="Imagen 2" descr="C:\Users\C.E.ADULTOS\Desktop\proyecto europeo\lousa_1109_pics\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.E.ADULTOS\Desktop\proyecto europeo\lousa_1109_pics\0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53C8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Conseguir q</w:t>
      </w:r>
      <w:r w:rsidR="00C01BB6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ue la actividad académica les sirva para desenvolverse </w:t>
      </w:r>
      <w:r w:rsidR="009A53C8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mejor en la vida diaria.</w:t>
      </w:r>
    </w:p>
    <w:p w:rsidR="00F7155C" w:rsidRPr="00A95D37" w:rsidRDefault="00522B98" w:rsidP="00522B9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 En la reunión celebrada en Portugal</w:t>
      </w:r>
      <w:r w:rsidR="00C01BB6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,</w:t>
      </w:r>
      <w:r w:rsidR="00E31106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entre el 5 y el 8 de noviembre de 2009,</w:t>
      </w: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se </w:t>
      </w:r>
      <w:r w:rsidR="00F41C87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consensuó</w:t>
      </w: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el calendario de actuaciones a lo largo de los dos años de vigencia del proyecto, el reparto de tareas y responsabilidades entre los </w:t>
      </w:r>
      <w:r w:rsidR="00E31106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c</w:t>
      </w: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entros, y los programas  para las futuras reuniones internacionales.</w:t>
      </w:r>
    </w:p>
    <w:p w:rsidR="009A53C8" w:rsidRPr="00A95D37" w:rsidRDefault="00F7155C" w:rsidP="00F7155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La segunda sesión de reuniones </w:t>
      </w:r>
      <w:r w:rsidR="000F68BA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fue</w:t>
      </w: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en Malta</w:t>
      </w:r>
      <w:r w:rsidR="009A53C8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,</w:t>
      </w: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r w:rsidR="000F68BA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en</w:t>
      </w: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tre los días 14 y 18 de abril de 2010. </w:t>
      </w:r>
    </w:p>
    <w:p w:rsidR="00F7155C" w:rsidRPr="00A95D37" w:rsidRDefault="00F7155C" w:rsidP="00F7155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Los objetivos fundamentales de este encuentro era</w:t>
      </w:r>
      <w:r w:rsidR="000F68BA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n</w:t>
      </w: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la evaluación de la marcha del proyecto, el intercambio de opiniones e ideas y la presentación de ejemplos de </w:t>
      </w:r>
      <w:r w:rsidR="001C2C66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“</w:t>
      </w: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buenas prácticas</w:t>
      </w:r>
      <w:r w:rsidR="001C2C66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”</w:t>
      </w: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. Las competencias básicas que se iban a analizar en este encuentro eran el desarrollo del espíritu emprendedor y de la competencia digital</w:t>
      </w:r>
      <w:r w:rsidR="00C01BB6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.</w:t>
      </w: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</w:p>
    <w:p w:rsidR="00F06A89" w:rsidRPr="00A95D37" w:rsidRDefault="000F68BA" w:rsidP="00F7155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Se desarrollaron tres talleres:</w:t>
      </w:r>
      <w:r w:rsidR="005C52F5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r w:rsidR="00F7155C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“Realización de video”, </w:t>
      </w:r>
      <w:r w:rsidR="00E31106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“</w:t>
      </w:r>
      <w:r w:rsidR="00F7155C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Creación de blogs” y “Correspondencia electrónica- eTwinning”</w:t>
      </w:r>
      <w:r w:rsidR="00AC26B0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. </w:t>
      </w: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S</w:t>
      </w:r>
      <w:r w:rsidR="00F7155C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e t</w:t>
      </w: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r</w:t>
      </w:r>
      <w:r w:rsidR="00F7155C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ata de herramientas educativas que tienen muchas potencialidades en el campo de la educación a lo largo de la vida, del reciclaje personal del profesorado y especialmente para nuestros alumnos.  </w:t>
      </w:r>
    </w:p>
    <w:p w:rsidR="001C2C66" w:rsidRPr="00A95D37" w:rsidRDefault="001C2C66" w:rsidP="001C2C66">
      <w:pPr>
        <w:spacing w:before="100" w:beforeAutospacing="1" w:after="100" w:afterAutospacing="1" w:line="240" w:lineRule="auto"/>
        <w:rPr>
          <w:rFonts w:ascii="Comic Sans MS" w:hAnsi="Comic Sans MS" w:cs="Times New Roman"/>
          <w:sz w:val="20"/>
          <w:szCs w:val="20"/>
        </w:rPr>
      </w:pPr>
      <w:r w:rsidRPr="00A95D37">
        <w:rPr>
          <w:rFonts w:ascii="Comic Sans MS" w:eastAsia="Times New Roman" w:hAnsi="Comic Sans MS" w:cs="Times New Roman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144145</wp:posOffset>
            </wp:positionV>
            <wp:extent cx="2969260" cy="2219325"/>
            <wp:effectExtent l="19050" t="0" r="2540" b="0"/>
            <wp:wrapTight wrapText="bothSides">
              <wp:wrapPolygon edited="0">
                <wp:start x="-139" y="0"/>
                <wp:lineTo x="-139" y="21507"/>
                <wp:lineTo x="21618" y="21507"/>
                <wp:lineTo x="21618" y="0"/>
                <wp:lineTo x="-139" y="0"/>
              </wp:wrapPolygon>
            </wp:wrapTight>
            <wp:docPr id="15" name="Imagen 28" descr="C:\Users\C.E.ADULTOS\Desktop\proyecto europeo\malta\malta_0410_pics\P4160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C.E.ADULTOS\Desktop\proyecto europeo\malta\malta_0410_pics\P416056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6A89" w:rsidRPr="00A95D37">
        <w:rPr>
          <w:rFonts w:ascii="Comic Sans MS" w:eastAsia="Times New Roman" w:hAnsi="Comic Sans MS" w:cs="Times New Roman"/>
          <w:noProof/>
          <w:sz w:val="20"/>
          <w:szCs w:val="20"/>
          <w:lang w:eastAsia="es-ES"/>
        </w:rPr>
        <w:t>Otras</w:t>
      </w:r>
      <w:r w:rsidR="00F7155C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actividades versaron sobre la teoría y la práctica del “Espíritu emprendedor” y su importancia para los centros </w:t>
      </w:r>
      <w:r w:rsidR="00F06A89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de</w:t>
      </w:r>
      <w:r w:rsidR="00F7155C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educación de adultos</w:t>
      </w:r>
      <w:r w:rsidR="00F06A89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.</w:t>
      </w:r>
      <w:r w:rsidR="00F7155C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</w:t>
      </w:r>
      <w:r w:rsidRPr="00A95D37">
        <w:rPr>
          <w:rFonts w:ascii="Comic Sans MS" w:hAnsi="Comic Sans MS" w:cs="Times New Roman"/>
          <w:sz w:val="20"/>
          <w:szCs w:val="20"/>
        </w:rPr>
        <w:t>E</w:t>
      </w:r>
      <w:r w:rsidR="00302843" w:rsidRPr="00A95D37">
        <w:rPr>
          <w:rFonts w:ascii="Comic Sans MS" w:hAnsi="Comic Sans MS" w:cs="Times New Roman"/>
          <w:sz w:val="20"/>
          <w:szCs w:val="20"/>
        </w:rPr>
        <w:t>l espíritu emprendedor no es una cualidad innata del ser humano, por lo que se puede aprender. No sirve sólo para montar o dirigir empresas o para  hacerse autónomos. Su utilidad se extiende a un rango mucho más extenso de necesidades de la vida cotidiana. En definitiva consiste en buscar una solución a cada problema que se plantea.</w:t>
      </w:r>
    </w:p>
    <w:p w:rsidR="00F06A89" w:rsidRPr="00A95D37" w:rsidRDefault="00AC26B0" w:rsidP="00AC26B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La convivencia entre todos los profesores que han  asistido a estos encuentros ha permitido estrechar los lazos entre los centros y los países.  </w:t>
      </w:r>
    </w:p>
    <w:p w:rsidR="00F06A89" w:rsidRPr="00A95D37" w:rsidRDefault="009A53C8" w:rsidP="00AC26B0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es-ES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La participación en estos encuentros de trabajo supone</w:t>
      </w:r>
      <w:r w:rsidR="001C2C66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,</w:t>
      </w: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no sólo una proyección de nuestro centro educativo, sin</w:t>
      </w:r>
      <w:r w:rsidR="00F06A89"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o</w:t>
      </w: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 xml:space="preserve"> también un escaparate en el que mostramos lo mejor de nuestra comunidad autónoma, de nuestra provincia y de nuestra ciudad.</w:t>
      </w:r>
    </w:p>
    <w:p w:rsidR="00AE4CF6" w:rsidRPr="000F68BA" w:rsidRDefault="009A53C8" w:rsidP="009F572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95D37">
        <w:rPr>
          <w:rFonts w:ascii="Comic Sans MS" w:eastAsia="Times New Roman" w:hAnsi="Comic Sans MS" w:cs="Times New Roman"/>
          <w:sz w:val="20"/>
          <w:szCs w:val="20"/>
          <w:lang w:eastAsia="es-ES"/>
        </w:rPr>
        <w:t>En definitiva, llevamos el nombre de Cáceres allá donde vamos.</w:t>
      </w:r>
    </w:p>
    <w:sectPr w:rsidR="00AE4CF6" w:rsidRPr="000F68BA" w:rsidSect="00131B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5D6" w:rsidRDefault="004F45D6" w:rsidP="00AC26B0">
      <w:pPr>
        <w:spacing w:after="0" w:line="240" w:lineRule="auto"/>
      </w:pPr>
      <w:r>
        <w:separator/>
      </w:r>
    </w:p>
  </w:endnote>
  <w:endnote w:type="continuationSeparator" w:id="0">
    <w:p w:rsidR="004F45D6" w:rsidRDefault="004F45D6" w:rsidP="00AC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5D6" w:rsidRDefault="004F45D6" w:rsidP="00AC26B0">
      <w:pPr>
        <w:spacing w:after="0" w:line="240" w:lineRule="auto"/>
      </w:pPr>
      <w:r>
        <w:separator/>
      </w:r>
    </w:p>
  </w:footnote>
  <w:footnote w:type="continuationSeparator" w:id="0">
    <w:p w:rsidR="004F45D6" w:rsidRDefault="004F45D6" w:rsidP="00AC2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C0C6B"/>
    <w:multiLevelType w:val="hybridMultilevel"/>
    <w:tmpl w:val="1C949C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9F7AE6"/>
    <w:multiLevelType w:val="multilevel"/>
    <w:tmpl w:val="89E4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A319F4"/>
    <w:multiLevelType w:val="hybridMultilevel"/>
    <w:tmpl w:val="A6A6CA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B98"/>
    <w:rsid w:val="00037A28"/>
    <w:rsid w:val="000F68BA"/>
    <w:rsid w:val="00131B53"/>
    <w:rsid w:val="00147C4B"/>
    <w:rsid w:val="001C2C66"/>
    <w:rsid w:val="002B3158"/>
    <w:rsid w:val="002C5123"/>
    <w:rsid w:val="002E2D99"/>
    <w:rsid w:val="00302843"/>
    <w:rsid w:val="0032459D"/>
    <w:rsid w:val="00325DB6"/>
    <w:rsid w:val="00392A17"/>
    <w:rsid w:val="003E28B3"/>
    <w:rsid w:val="004F45D6"/>
    <w:rsid w:val="00522B98"/>
    <w:rsid w:val="005C52F5"/>
    <w:rsid w:val="006B5F19"/>
    <w:rsid w:val="006E6536"/>
    <w:rsid w:val="00754CB2"/>
    <w:rsid w:val="007A336F"/>
    <w:rsid w:val="00851CCC"/>
    <w:rsid w:val="008C1236"/>
    <w:rsid w:val="009718C8"/>
    <w:rsid w:val="009A53C8"/>
    <w:rsid w:val="009D199B"/>
    <w:rsid w:val="009F5728"/>
    <w:rsid w:val="00A16320"/>
    <w:rsid w:val="00A5429A"/>
    <w:rsid w:val="00A95D37"/>
    <w:rsid w:val="00AC26B0"/>
    <w:rsid w:val="00AD7F9A"/>
    <w:rsid w:val="00AE4CF6"/>
    <w:rsid w:val="00B119C9"/>
    <w:rsid w:val="00BA511B"/>
    <w:rsid w:val="00BC3ABC"/>
    <w:rsid w:val="00C01BB6"/>
    <w:rsid w:val="00C5667A"/>
    <w:rsid w:val="00D41328"/>
    <w:rsid w:val="00E0265F"/>
    <w:rsid w:val="00E31106"/>
    <w:rsid w:val="00E879A0"/>
    <w:rsid w:val="00EE0188"/>
    <w:rsid w:val="00EE681A"/>
    <w:rsid w:val="00F06A89"/>
    <w:rsid w:val="00F41C87"/>
    <w:rsid w:val="00F7155C"/>
    <w:rsid w:val="00FA31DD"/>
    <w:rsid w:val="00FE7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81A"/>
    <w:rPr>
      <w:rFonts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2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0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1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AC2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C26B0"/>
    <w:rPr>
      <w:rFonts w:cstheme="minorBidi"/>
    </w:rPr>
  </w:style>
  <w:style w:type="paragraph" w:styleId="Piedepgina">
    <w:name w:val="footer"/>
    <w:basedOn w:val="Normal"/>
    <w:link w:val="PiedepginaCar"/>
    <w:uiPriority w:val="99"/>
    <w:semiHidden/>
    <w:unhideWhenUsed/>
    <w:rsid w:val="00AC2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C26B0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59EB-80CF-4479-A19C-3B44100A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C.E.ADULTOS</dc:creator>
  <cp:lastModifiedBy>C.E.ADULTOS</cp:lastModifiedBy>
  <cp:revision>6</cp:revision>
  <dcterms:created xsi:type="dcterms:W3CDTF">2010-05-03T10:56:00Z</dcterms:created>
  <dcterms:modified xsi:type="dcterms:W3CDTF">2010-05-07T09:07:00Z</dcterms:modified>
</cp:coreProperties>
</file>